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AB" w:rsidRDefault="003051AB" w:rsidP="003051AB">
      <w:pPr>
        <w:jc w:val="right"/>
        <w:rPr>
          <w:rFonts w:ascii="仿宋_GB2312" w:eastAsia="仿宋_GB2312" w:hAnsi="Times New Roman"/>
          <w:sz w:val="24"/>
        </w:rPr>
      </w:pPr>
    </w:p>
    <w:p w:rsidR="003051AB" w:rsidRDefault="003051AB" w:rsidP="003051AB">
      <w:pPr>
        <w:jc w:val="center"/>
        <w:rPr>
          <w:rFonts w:ascii="仿宋_GB2312" w:eastAsia="仿宋_GB2312" w:hAnsi="Times New Roman"/>
          <w:b/>
          <w:sz w:val="44"/>
        </w:rPr>
      </w:pPr>
      <w:r>
        <w:rPr>
          <w:rFonts w:ascii="仿宋_GB2312" w:eastAsia="仿宋_GB2312" w:hAnsi="Times New Roman" w:hint="eastAsia"/>
          <w:b/>
          <w:sz w:val="44"/>
        </w:rPr>
        <w:t>四川田湾河旅游开发有限责任公司</w:t>
      </w:r>
    </w:p>
    <w:p w:rsidR="003051AB" w:rsidRDefault="003051AB" w:rsidP="003051AB">
      <w:pPr>
        <w:spacing w:line="800" w:lineRule="exact"/>
        <w:jc w:val="center"/>
        <w:rPr>
          <w:rFonts w:ascii="仿宋_GB2312" w:eastAsia="仿宋_GB2312" w:hAnsi="Times New Roman"/>
          <w:b/>
          <w:sz w:val="32"/>
          <w:szCs w:val="32"/>
        </w:rPr>
      </w:pPr>
      <w:bookmarkStart w:id="0" w:name="_Toc391629573"/>
      <w:bookmarkStart w:id="1" w:name="_Toc398734575"/>
      <w:r>
        <w:rPr>
          <w:rFonts w:ascii="仿宋_GB2312" w:eastAsia="仿宋_GB2312" w:hAnsi="Times New Roman" w:hint="eastAsia"/>
          <w:b/>
          <w:sz w:val="44"/>
        </w:rPr>
        <w:t>2020～2021年度招标代理服务机构选聘</w:t>
      </w:r>
    </w:p>
    <w:p w:rsidR="003051AB" w:rsidRDefault="003051AB" w:rsidP="003051AB">
      <w:pPr>
        <w:jc w:val="center"/>
        <w:rPr>
          <w:rFonts w:ascii="仿宋_GB2312" w:eastAsia="仿宋_GB2312" w:hAnsi="Times New Roman"/>
          <w:b/>
          <w:sz w:val="72"/>
          <w:szCs w:val="72"/>
        </w:rPr>
      </w:pPr>
    </w:p>
    <w:p w:rsidR="003051AB" w:rsidRDefault="003051AB" w:rsidP="003051AB">
      <w:pPr>
        <w:jc w:val="center"/>
        <w:rPr>
          <w:rFonts w:ascii="仿宋_GB2312" w:eastAsia="仿宋_GB2312" w:hAnsi="Times New Roman"/>
          <w:b/>
          <w:sz w:val="72"/>
          <w:szCs w:val="72"/>
        </w:rPr>
      </w:pPr>
    </w:p>
    <w:p w:rsidR="003051AB" w:rsidRDefault="003051AB" w:rsidP="003051AB">
      <w:pPr>
        <w:jc w:val="center"/>
        <w:rPr>
          <w:rFonts w:ascii="仿宋_GB2312" w:eastAsia="仿宋_GB2312" w:hAnsi="Times New Roman"/>
          <w:b/>
          <w:sz w:val="72"/>
          <w:szCs w:val="72"/>
        </w:rPr>
      </w:pPr>
    </w:p>
    <w:p w:rsidR="003051AB" w:rsidRDefault="003051AB" w:rsidP="003051AB">
      <w:pPr>
        <w:jc w:val="center"/>
        <w:rPr>
          <w:rFonts w:ascii="仿宋_GB2312" w:eastAsia="仿宋_GB2312" w:hAnsi="Times New Roman"/>
          <w:b/>
          <w:sz w:val="72"/>
          <w:szCs w:val="72"/>
        </w:rPr>
      </w:pPr>
      <w:r>
        <w:rPr>
          <w:rFonts w:ascii="仿宋_GB2312" w:eastAsia="仿宋_GB2312" w:hAnsi="Times New Roman" w:hint="eastAsia"/>
          <w:b/>
          <w:sz w:val="72"/>
          <w:szCs w:val="72"/>
        </w:rPr>
        <w:t>比</w:t>
      </w:r>
    </w:p>
    <w:p w:rsidR="003051AB" w:rsidRDefault="003051AB" w:rsidP="003051AB">
      <w:pPr>
        <w:jc w:val="center"/>
        <w:rPr>
          <w:rFonts w:ascii="仿宋_GB2312" w:eastAsia="仿宋_GB2312" w:hAnsi="Times New Roman"/>
          <w:b/>
          <w:sz w:val="72"/>
          <w:szCs w:val="72"/>
        </w:rPr>
      </w:pPr>
      <w:r>
        <w:rPr>
          <w:rFonts w:ascii="仿宋_GB2312" w:eastAsia="仿宋_GB2312" w:hAnsi="Times New Roman" w:hint="eastAsia"/>
          <w:b/>
          <w:sz w:val="72"/>
          <w:szCs w:val="72"/>
        </w:rPr>
        <w:t>选</w:t>
      </w:r>
    </w:p>
    <w:p w:rsidR="003051AB" w:rsidRDefault="00367FF7" w:rsidP="003051AB">
      <w:pPr>
        <w:jc w:val="center"/>
        <w:rPr>
          <w:rFonts w:ascii="仿宋_GB2312" w:eastAsia="仿宋_GB2312" w:hAnsi="Times New Roman"/>
          <w:b/>
          <w:sz w:val="72"/>
          <w:szCs w:val="72"/>
        </w:rPr>
      </w:pPr>
      <w:r>
        <w:rPr>
          <w:rFonts w:ascii="仿宋_GB2312" w:eastAsia="仿宋_GB2312" w:hAnsi="Times New Roman" w:hint="eastAsia"/>
          <w:b/>
          <w:sz w:val="72"/>
          <w:szCs w:val="72"/>
        </w:rPr>
        <w:t>公</w:t>
      </w:r>
      <w:bookmarkStart w:id="2" w:name="_GoBack"/>
      <w:bookmarkEnd w:id="2"/>
    </w:p>
    <w:p w:rsidR="003051AB" w:rsidRPr="00367FF7" w:rsidRDefault="00367FF7" w:rsidP="003051AB">
      <w:pPr>
        <w:jc w:val="center"/>
        <w:rPr>
          <w:rFonts w:ascii="仿宋_GB2312" w:eastAsia="仿宋_GB2312" w:hAnsi="Times New Roman"/>
          <w:b/>
          <w:sz w:val="72"/>
          <w:szCs w:val="72"/>
        </w:rPr>
      </w:pPr>
      <w:r>
        <w:rPr>
          <w:rFonts w:ascii="仿宋_GB2312" w:eastAsia="仿宋_GB2312" w:hAnsi="Times New Roman" w:hint="eastAsia"/>
          <w:b/>
          <w:sz w:val="72"/>
          <w:szCs w:val="72"/>
        </w:rPr>
        <w:t>告</w:t>
      </w:r>
    </w:p>
    <w:p w:rsidR="003051AB" w:rsidRDefault="003051AB" w:rsidP="003051AB">
      <w:pPr>
        <w:ind w:firstLineChars="200" w:firstLine="880"/>
        <w:rPr>
          <w:rFonts w:ascii="仿宋_GB2312" w:eastAsia="仿宋_GB2312" w:hAnsi="Times New Roman"/>
          <w:sz w:val="44"/>
          <w:szCs w:val="44"/>
        </w:rPr>
      </w:pPr>
    </w:p>
    <w:p w:rsidR="003051AB" w:rsidRDefault="003051AB" w:rsidP="003051AB">
      <w:pPr>
        <w:ind w:firstLineChars="200" w:firstLine="880"/>
        <w:rPr>
          <w:rFonts w:ascii="仿宋_GB2312" w:eastAsia="仿宋_GB2312" w:hAnsi="Times New Roman"/>
          <w:sz w:val="44"/>
          <w:szCs w:val="44"/>
        </w:rPr>
      </w:pPr>
    </w:p>
    <w:p w:rsidR="003051AB" w:rsidRDefault="003051AB" w:rsidP="003051AB">
      <w:pPr>
        <w:ind w:firstLineChars="200" w:firstLine="880"/>
        <w:rPr>
          <w:rFonts w:ascii="仿宋_GB2312" w:eastAsia="仿宋_GB2312" w:hAnsi="Times New Roman"/>
          <w:sz w:val="44"/>
          <w:szCs w:val="44"/>
        </w:rPr>
      </w:pPr>
    </w:p>
    <w:p w:rsidR="003051AB" w:rsidRDefault="003051AB" w:rsidP="003051AB">
      <w:pPr>
        <w:ind w:firstLineChars="200" w:firstLine="880"/>
        <w:rPr>
          <w:rFonts w:ascii="仿宋_GB2312" w:eastAsia="仿宋_GB2312" w:hAnsi="Times New Roman"/>
          <w:sz w:val="44"/>
          <w:szCs w:val="44"/>
        </w:rPr>
      </w:pPr>
    </w:p>
    <w:p w:rsidR="003051AB" w:rsidRDefault="003051AB" w:rsidP="003051AB">
      <w:pPr>
        <w:rPr>
          <w:rFonts w:ascii="仿宋_GB2312" w:eastAsia="仿宋_GB2312" w:hAnsi="Times New Roman"/>
          <w:sz w:val="44"/>
          <w:szCs w:val="44"/>
        </w:rPr>
      </w:pPr>
    </w:p>
    <w:p w:rsidR="003051AB" w:rsidRDefault="003051AB" w:rsidP="003051AB">
      <w:pPr>
        <w:ind w:firstLineChars="196" w:firstLine="627"/>
        <w:rPr>
          <w:rFonts w:ascii="仿宋_GB2312" w:eastAsia="仿宋_GB2312" w:hAnsi="Times New Roman"/>
          <w:sz w:val="44"/>
          <w:szCs w:val="44"/>
        </w:rPr>
      </w:pPr>
      <w:r>
        <w:rPr>
          <w:rFonts w:ascii="仿宋_GB2312" w:eastAsia="仿宋_GB2312" w:hAnsi="Times New Roman" w:hint="eastAsia"/>
          <w:sz w:val="32"/>
          <w:szCs w:val="32"/>
        </w:rPr>
        <w:t>比选编号：</w:t>
      </w:r>
      <w:r>
        <w:rPr>
          <w:rFonts w:ascii="仿宋_GB2312" w:eastAsia="仿宋_GB2312" w:hAnsi="Times New Roman" w:hint="eastAsia"/>
          <w:sz w:val="32"/>
          <w:szCs w:val="32"/>
          <w:u w:val="single"/>
        </w:rPr>
        <w:t xml:space="preserve">      TWHLY/ZH/2020003           </w:t>
      </w:r>
    </w:p>
    <w:p w:rsidR="003051AB" w:rsidRDefault="003051AB" w:rsidP="003051AB">
      <w:pPr>
        <w:ind w:firstLineChars="196" w:firstLine="627"/>
        <w:rPr>
          <w:rFonts w:ascii="仿宋_GB2312" w:eastAsia="仿宋_GB2312" w:hAnsi="Times New Roman"/>
          <w:sz w:val="32"/>
          <w:szCs w:val="32"/>
          <w:u w:val="single"/>
        </w:rPr>
      </w:pPr>
      <w:r>
        <w:rPr>
          <w:rFonts w:ascii="仿宋_GB2312" w:eastAsia="仿宋_GB2312" w:hAnsi="Times New Roman" w:hint="eastAsia"/>
          <w:sz w:val="32"/>
          <w:szCs w:val="32"/>
        </w:rPr>
        <w:t>比 选 人：</w:t>
      </w:r>
      <w:r>
        <w:rPr>
          <w:rFonts w:ascii="仿宋_GB2312" w:eastAsia="仿宋_GB2312" w:hAnsi="Times New Roman" w:hint="eastAsia"/>
          <w:sz w:val="32"/>
          <w:szCs w:val="32"/>
          <w:u w:val="single"/>
        </w:rPr>
        <w:t xml:space="preserve"> 四川田湾河旅游开发有限责任公司</w:t>
      </w:r>
    </w:p>
    <w:p w:rsidR="003051AB" w:rsidRDefault="003051AB" w:rsidP="003051AB">
      <w:pPr>
        <w:jc w:val="center"/>
        <w:rPr>
          <w:rFonts w:ascii="仿宋_GB2312" w:eastAsia="仿宋_GB2312" w:hAnsi="Times New Roman"/>
          <w:sz w:val="32"/>
          <w:szCs w:val="32"/>
        </w:rPr>
      </w:pPr>
      <w:r>
        <w:rPr>
          <w:rFonts w:ascii="仿宋_GB2312" w:eastAsia="仿宋_GB2312" w:hAnsi="Times New Roman" w:hint="eastAsia"/>
          <w:sz w:val="32"/>
          <w:szCs w:val="32"/>
        </w:rPr>
        <w:t>20</w:t>
      </w:r>
      <w:r>
        <w:rPr>
          <w:rFonts w:ascii="仿宋_GB2312" w:eastAsia="仿宋_GB2312" w:hAnsi="Times New Roman"/>
          <w:sz w:val="32"/>
          <w:szCs w:val="32"/>
        </w:rPr>
        <w:t>20</w:t>
      </w:r>
      <w:r>
        <w:rPr>
          <w:rFonts w:ascii="仿宋_GB2312" w:eastAsia="仿宋_GB2312" w:hAnsi="Times New Roman" w:hint="eastAsia"/>
          <w:sz w:val="32"/>
          <w:szCs w:val="32"/>
        </w:rPr>
        <w:t>年</w:t>
      </w:r>
      <w:r>
        <w:rPr>
          <w:rFonts w:ascii="仿宋_GB2312" w:eastAsia="仿宋_GB2312" w:hAnsi="Times New Roman"/>
          <w:sz w:val="32"/>
          <w:szCs w:val="32"/>
        </w:rPr>
        <w:t>8</w:t>
      </w:r>
      <w:r>
        <w:rPr>
          <w:rFonts w:ascii="仿宋_GB2312" w:eastAsia="仿宋_GB2312" w:hAnsi="Times New Roman" w:hint="eastAsia"/>
          <w:sz w:val="32"/>
          <w:szCs w:val="32"/>
        </w:rPr>
        <w:t>月</w:t>
      </w:r>
    </w:p>
    <w:p w:rsidR="003051AB" w:rsidRDefault="003051AB" w:rsidP="003051AB">
      <w:pPr>
        <w:ind w:firstLineChars="1200" w:firstLine="3840"/>
        <w:jc w:val="right"/>
        <w:rPr>
          <w:rFonts w:ascii="仿宋_GB2312" w:eastAsia="仿宋_GB2312" w:hAnsi="Times New Roman"/>
          <w:b/>
          <w:sz w:val="24"/>
        </w:rPr>
      </w:pPr>
      <w:r>
        <w:rPr>
          <w:rFonts w:ascii="仿宋_GB2312" w:eastAsia="仿宋_GB2312" w:hAnsi="Times New Roman" w:hint="eastAsia"/>
          <w:sz w:val="32"/>
          <w:szCs w:val="32"/>
        </w:rPr>
        <w:br w:type="page"/>
      </w:r>
    </w:p>
    <w:p w:rsidR="003051AB" w:rsidRDefault="003051AB" w:rsidP="003051AB">
      <w:pPr>
        <w:pStyle w:val="1"/>
        <w:tabs>
          <w:tab w:val="left" w:pos="4440"/>
        </w:tabs>
        <w:ind w:left="883"/>
        <w:jc w:val="center"/>
        <w:rPr>
          <w:rFonts w:ascii="仿宋_GB2312" w:eastAsia="仿宋_GB2312" w:hAnsi="Times New Roman" w:hint="default"/>
        </w:rPr>
      </w:pPr>
      <w:bookmarkStart w:id="3" w:name="_Toc481150791"/>
      <w:bookmarkStart w:id="4" w:name="_Toc45721636"/>
      <w:bookmarkEnd w:id="0"/>
      <w:bookmarkEnd w:id="1"/>
      <w:r>
        <w:rPr>
          <w:rFonts w:ascii="仿宋_GB2312" w:eastAsia="仿宋_GB2312" w:hAnsi="Times New Roman"/>
        </w:rPr>
        <w:lastRenderedPageBreak/>
        <w:t>比选公告</w:t>
      </w:r>
      <w:bookmarkEnd w:id="3"/>
      <w:bookmarkEnd w:id="4"/>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 xml:space="preserve">四川田湾河旅游开发有限责任公司拟对田湾河景区石棉县草科温泉小镇项目进行投资,现将通过公开比选方式选聘2020～2021年度招标代理服务机构，欢迎符合资质条件的中介机构向比选人提出比选申请。 </w:t>
      </w:r>
    </w:p>
    <w:p w:rsidR="003051AB" w:rsidRDefault="003051AB" w:rsidP="003051AB">
      <w:pPr>
        <w:spacing w:line="440" w:lineRule="exact"/>
        <w:ind w:firstLineChars="200" w:firstLine="482"/>
        <w:rPr>
          <w:rFonts w:ascii="仿宋_GB2312" w:eastAsia="仿宋_GB2312" w:hAnsi="Times New Roman"/>
          <w:b/>
          <w:sz w:val="24"/>
        </w:rPr>
      </w:pPr>
      <w:r>
        <w:rPr>
          <w:rFonts w:ascii="仿宋_GB2312" w:eastAsia="仿宋_GB2312" w:hAnsi="Times New Roman" w:hint="eastAsia"/>
          <w:b/>
          <w:sz w:val="24"/>
        </w:rPr>
        <w:t>一、项目概况</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石棉县草科温泉小镇项目作为田湾河景区旅游开发项目的启动区，是即将建设的环贡嘎国际山地旅游户外运动大本营的主入口和旅游集散地，也是一个形象区与核心点，依托得天独厚的自然资源与温泉资源，建设温泉度假酒店、游客综合服务中心、养生汤宿等一大批基础配套服务设施，将草科温泉小镇打造成为集观光、休闲、疗养、探险旅游于一体的复合型旅游集散地。四川田湾河旅游开发有限责任公司致力于复合型文旅康养及特色小镇的策划规划、投资、开发、建设及运营管理，未来将着力打造包括田湾河景区旅游配套基础设施、田湾河山地休闲运动基地、环贡嘎徒步大本营、生态康养氧吧、草科温泉小镇等在内的一系列文旅康养产品，在对石棉县境内田湾河流域现有资源进行有效梳理整合的基础上，通过整体规划、投资、综合开发利用等手段，推动石棉县生态文化旅游融合发展的同时带动少数民族贫困地区早日脱贫致富。</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1、项目名称：四川田湾河旅游开发有限责任公司2020～2021年度招标代理服务机构选聘</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2、比选人：四川田湾河旅游开发有限责任公司</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3、代理范围：2020～2021年度四川田湾河旅游开发有限责任公司外委项目发包业务招标（包括</w:t>
      </w:r>
      <w:r>
        <w:rPr>
          <w:rFonts w:ascii="仿宋_GB2312" w:eastAsia="仿宋_GB2312" w:hAnsi="Times New Roman" w:hint="eastAsia"/>
          <w:bCs/>
          <w:sz w:val="24"/>
        </w:rPr>
        <w:t>但不限于公共资源交易中心公开</w:t>
      </w:r>
      <w:r>
        <w:rPr>
          <w:rFonts w:ascii="仿宋_GB2312" w:eastAsia="仿宋_GB2312" w:hAnsi="Times New Roman" w:hint="eastAsia"/>
          <w:sz w:val="24"/>
        </w:rPr>
        <w:t>招标、自主招标、比选、询价等多种形式在内，下同）代理服务</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4、服务周期1年</w:t>
      </w:r>
    </w:p>
    <w:p w:rsidR="003051AB" w:rsidRDefault="003051AB" w:rsidP="003051AB">
      <w:pPr>
        <w:spacing w:line="360" w:lineRule="auto"/>
        <w:ind w:firstLineChars="200" w:firstLine="482"/>
        <w:rPr>
          <w:rFonts w:ascii="仿宋_GB2312" w:eastAsia="仿宋_GB2312" w:hAnsi="Times New Roman"/>
          <w:b/>
          <w:sz w:val="24"/>
        </w:rPr>
      </w:pPr>
      <w:r>
        <w:rPr>
          <w:rFonts w:ascii="仿宋_GB2312" w:eastAsia="仿宋_GB2312" w:hAnsi="Times New Roman" w:hint="eastAsia"/>
          <w:b/>
          <w:sz w:val="24"/>
        </w:rPr>
        <w:t>二、比选内容</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bCs/>
          <w:sz w:val="24"/>
        </w:rPr>
        <w:t>招标代理服务内容(包括但不限于</w:t>
      </w:r>
      <w:r>
        <w:rPr>
          <w:rFonts w:ascii="仿宋_GB2312" w:eastAsia="仿宋_GB2312" w:hAnsi="Times New Roman" w:hint="eastAsia"/>
          <w:sz w:val="24"/>
        </w:rPr>
        <w:t>以下内容</w:t>
      </w:r>
      <w:r>
        <w:rPr>
          <w:rFonts w:ascii="仿宋_GB2312" w:eastAsia="仿宋_GB2312" w:hAnsi="Times New Roman" w:hint="eastAsia"/>
          <w:bCs/>
          <w:sz w:val="24"/>
        </w:rPr>
        <w:t>)</w:t>
      </w:r>
      <w:r>
        <w:rPr>
          <w:rFonts w:ascii="仿宋_GB2312" w:eastAsia="仿宋_GB2312" w:hAnsi="Times New Roman" w:hint="eastAsia"/>
          <w:sz w:val="24"/>
        </w:rPr>
        <w:t>：</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t>1、代理工程报建、招标备案——填写工程报建表、招标申请书、各类备案登记表。准备招标申请表、代理合同书、项目计划批文、规划许可证、图纸审查意见书及资信证明等材料到招标办备案，报招标办审查招标公告、招标文件。</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t xml:space="preserve">2、代理发布招标公告——编写招标公告，并报业主审查，报招标办备案，在指定网站上发布招标公告。  </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lastRenderedPageBreak/>
        <w:t xml:space="preserve">3、代理发售招标文件——发售招标文件，接受投标单位报名，待报名结束后、及时将报名情况汇总并报业主；编写投标人资格预审申请书，接受投标人投标申请；组织有关招投标管理部门、业主及相关专家参与的对投标人的资格审查，编写投标人资格预审报告。 </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t xml:space="preserve">4、代理招标、评标、开标——编写招标文件，并报业主审查通过后报招标监督部门备案；编写、发放招标文件补遗、澄清；在招标文件规定的时间组织答疑及现场勘察；接收投标文件，在评标专家库随机抽取或邀请专家评委，组织评标委员会对投标文件进行评审；组织有关招标投标管理部门、业主、纪检监察部门及投标人参加开标会，根据开标及评标结果编写评标报告。  </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t xml:space="preserve">5、发出中标通知书——填写中标通知书并报业主审批，协助业主办理交易所缴费、质监申请、安监申请和施工许可证申请等。  </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t>6、协助签订工程合同——开标后，协助业主与中标单位签订工程合同。待发包工作完成后收集整理发包过程全套资料，并移交给业主存档。</w:t>
      </w:r>
    </w:p>
    <w:p w:rsidR="003051AB" w:rsidRDefault="003051AB" w:rsidP="003051AB">
      <w:pPr>
        <w:spacing w:line="360" w:lineRule="auto"/>
        <w:ind w:firstLineChars="200" w:firstLine="480"/>
        <w:rPr>
          <w:rFonts w:ascii="仿宋_GB2312" w:eastAsia="仿宋_GB2312" w:hAnsi="Times New Roman"/>
          <w:bCs/>
          <w:kern w:val="0"/>
          <w:sz w:val="24"/>
          <w:szCs w:val="21"/>
        </w:rPr>
      </w:pPr>
      <w:r>
        <w:rPr>
          <w:rFonts w:ascii="仿宋_GB2312" w:eastAsia="仿宋_GB2312" w:hAnsi="Times New Roman" w:hint="eastAsia"/>
          <w:bCs/>
          <w:kern w:val="0"/>
          <w:sz w:val="24"/>
          <w:szCs w:val="21"/>
        </w:rPr>
        <w:t>7、提供信息服务——为业主提供质优价廉的主要材料供货渠道，提供招投标需要的各级各类法律、法规、政策等文件支持。</w:t>
      </w:r>
    </w:p>
    <w:p w:rsidR="003051AB" w:rsidRDefault="003051AB" w:rsidP="003051AB">
      <w:pPr>
        <w:spacing w:line="360" w:lineRule="auto"/>
        <w:ind w:firstLineChars="200" w:firstLine="482"/>
        <w:rPr>
          <w:rFonts w:ascii="仿宋_GB2312" w:eastAsia="仿宋_GB2312" w:hAnsi="Times New Roman"/>
          <w:b/>
          <w:kern w:val="0"/>
          <w:sz w:val="24"/>
        </w:rPr>
      </w:pPr>
      <w:r>
        <w:rPr>
          <w:rFonts w:ascii="仿宋_GB2312" w:eastAsia="仿宋_GB2312" w:hAnsi="Times New Roman" w:hint="eastAsia"/>
          <w:b/>
          <w:kern w:val="0"/>
          <w:sz w:val="24"/>
        </w:rPr>
        <w:t>三、对潜在比选响应人的资格要求</w:t>
      </w:r>
    </w:p>
    <w:p w:rsidR="003051AB" w:rsidRDefault="003051AB" w:rsidP="003051AB">
      <w:pPr>
        <w:pStyle w:val="a4"/>
        <w:spacing w:line="360" w:lineRule="auto"/>
        <w:ind w:firstLineChars="200" w:firstLine="480"/>
        <w:rPr>
          <w:rFonts w:ascii="仿宋_GB2312" w:eastAsia="仿宋_GB2312"/>
          <w:bCs/>
          <w:kern w:val="2"/>
          <w:sz w:val="24"/>
          <w:szCs w:val="24"/>
        </w:rPr>
      </w:pPr>
      <w:r>
        <w:rPr>
          <w:rFonts w:ascii="仿宋_GB2312" w:eastAsia="仿宋_GB2312" w:hint="eastAsia"/>
          <w:bCs/>
          <w:sz w:val="24"/>
        </w:rPr>
        <w:t>1、</w:t>
      </w:r>
      <w:r>
        <w:rPr>
          <w:rFonts w:ascii="仿宋_GB2312" w:eastAsia="仿宋_GB2312" w:hint="eastAsia"/>
          <w:sz w:val="24"/>
        </w:rPr>
        <w:t>比选响应人必须是依照中华人民共和国法律设立，并在中华人民共和国境内登记注册的、具有独立法人资格的单位。</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2</w:t>
      </w:r>
      <w:r>
        <w:rPr>
          <w:rFonts w:ascii="仿宋_GB2312" w:eastAsia="仿宋_GB2312" w:hint="eastAsia"/>
          <w:bCs/>
          <w:sz w:val="24"/>
        </w:rPr>
        <w:t>、具有良好的社会信誉和招标代理服务业绩；</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3</w:t>
      </w:r>
      <w:r>
        <w:rPr>
          <w:rFonts w:ascii="仿宋_GB2312" w:eastAsia="仿宋_GB2312" w:hint="eastAsia"/>
          <w:bCs/>
          <w:sz w:val="24"/>
        </w:rPr>
        <w:t>、具有良好的团队治理、业务操作流程、风险管理体系和内部控制；</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4</w:t>
      </w:r>
      <w:r>
        <w:rPr>
          <w:rFonts w:ascii="仿宋_GB2312" w:eastAsia="仿宋_GB2312" w:hint="eastAsia"/>
          <w:bCs/>
          <w:sz w:val="24"/>
        </w:rPr>
        <w:t>、比选响应人拟担任本比选项目的项目经理、技术负责人应具有招标从业人员资格等专业技术资格并注册在比选响应单位。</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5</w:t>
      </w:r>
      <w:r>
        <w:rPr>
          <w:rFonts w:ascii="仿宋_GB2312" w:eastAsia="仿宋_GB2312" w:hint="eastAsia"/>
          <w:bCs/>
          <w:sz w:val="24"/>
        </w:rPr>
        <w:t>、近3年有完成2个以上（含）类似工程招标代理业绩。类似项目是指：完成过2个以上（含）中标金额在1亿元以上的公共类房屋建筑施工项目招标代理业绩。</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hint="eastAsia"/>
          <w:bCs/>
          <w:sz w:val="24"/>
        </w:rPr>
        <w:t>（1）</w:t>
      </w:r>
      <w:r w:rsidRPr="00AB0449">
        <w:rPr>
          <w:rFonts w:ascii="仿宋_GB2312" w:eastAsia="仿宋_GB2312" w:hint="eastAsia"/>
          <w:bCs/>
          <w:sz w:val="24"/>
        </w:rPr>
        <w:t>需提供各级公共资源交易中心网站、四川日报比选网、四川建设网公示截图及中标通知书（或合同协议书），并加盖企业鲜章且对业绩的真实性进行承诺。同时提供合同协议书且金额不一致的业绩金额以合同金额为准</w:t>
      </w:r>
      <w:r>
        <w:rPr>
          <w:rFonts w:ascii="仿宋_GB2312" w:eastAsia="仿宋_GB2312" w:hint="eastAsia"/>
          <w:bCs/>
          <w:sz w:val="24"/>
        </w:rPr>
        <w:t>；</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hint="eastAsia"/>
          <w:bCs/>
          <w:sz w:val="24"/>
        </w:rPr>
        <w:t>（2）若合同或中标通知书均无法体现出所需要求的工程规模或技术指标或业绩时间，则比选响应人还需要提供建设单位盖章确认的其工程规模或技术指标</w:t>
      </w:r>
      <w:r>
        <w:rPr>
          <w:rFonts w:ascii="仿宋_GB2312" w:eastAsia="仿宋_GB2312" w:hint="eastAsia"/>
          <w:bCs/>
          <w:sz w:val="24"/>
        </w:rPr>
        <w:lastRenderedPageBreak/>
        <w:t>或业绩时间的证明材料复印件。</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6</w:t>
      </w:r>
      <w:r>
        <w:rPr>
          <w:rFonts w:ascii="仿宋_GB2312" w:eastAsia="仿宋_GB2312" w:hint="eastAsia"/>
          <w:bCs/>
          <w:sz w:val="24"/>
        </w:rPr>
        <w:t>、财务要求：近3年（201</w:t>
      </w:r>
      <w:r>
        <w:rPr>
          <w:rFonts w:ascii="仿宋_GB2312" w:eastAsia="仿宋_GB2312"/>
          <w:bCs/>
          <w:sz w:val="24"/>
        </w:rPr>
        <w:t>7</w:t>
      </w:r>
      <w:r>
        <w:rPr>
          <w:rFonts w:ascii="仿宋_GB2312" w:eastAsia="仿宋_GB2312" w:hint="eastAsia"/>
          <w:bCs/>
          <w:sz w:val="24"/>
        </w:rPr>
        <w:t>-201</w:t>
      </w:r>
      <w:r>
        <w:rPr>
          <w:rFonts w:ascii="仿宋_GB2312" w:eastAsia="仿宋_GB2312"/>
          <w:bCs/>
          <w:sz w:val="24"/>
        </w:rPr>
        <w:t>9</w:t>
      </w:r>
      <w:r>
        <w:rPr>
          <w:rFonts w:ascii="仿宋_GB2312" w:eastAsia="仿宋_GB2312" w:hint="eastAsia"/>
          <w:bCs/>
          <w:sz w:val="24"/>
        </w:rPr>
        <w:t>）无亏损，提交经审计的财务审计证明资料，主要包含资产负债表、现金流量表、损益表。</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7</w:t>
      </w:r>
      <w:r>
        <w:rPr>
          <w:rFonts w:ascii="仿宋_GB2312" w:eastAsia="仿宋_GB2312" w:hint="eastAsia"/>
          <w:bCs/>
          <w:sz w:val="24"/>
        </w:rPr>
        <w:t>、信誉要求：企业信誉良好，目前未处于财产被接管、冻结、破产状态，目前未处于四川省行政区域内有关行政处罚期间内，未被列入失信人员名单。</w:t>
      </w:r>
    </w:p>
    <w:p w:rsidR="003051AB" w:rsidRDefault="003051AB" w:rsidP="003051AB">
      <w:pPr>
        <w:pStyle w:val="a4"/>
        <w:spacing w:line="360" w:lineRule="auto"/>
        <w:ind w:firstLineChars="200" w:firstLine="480"/>
        <w:rPr>
          <w:rFonts w:ascii="仿宋_GB2312" w:eastAsia="仿宋_GB2312"/>
          <w:bCs/>
          <w:sz w:val="24"/>
        </w:rPr>
      </w:pPr>
      <w:r>
        <w:rPr>
          <w:rFonts w:ascii="仿宋_GB2312" w:eastAsia="仿宋_GB2312"/>
          <w:bCs/>
          <w:sz w:val="24"/>
        </w:rPr>
        <w:t>8</w:t>
      </w:r>
      <w:r>
        <w:rPr>
          <w:rFonts w:ascii="仿宋_GB2312" w:eastAsia="仿宋_GB2312" w:hint="eastAsia"/>
          <w:bCs/>
          <w:sz w:val="24"/>
        </w:rPr>
        <w:t>、本比选项目不接受联合体投标。</w:t>
      </w:r>
    </w:p>
    <w:p w:rsidR="003051AB" w:rsidRDefault="003051AB" w:rsidP="003051AB">
      <w:pPr>
        <w:spacing w:line="440" w:lineRule="exact"/>
        <w:ind w:firstLineChars="200" w:firstLine="482"/>
        <w:rPr>
          <w:rFonts w:ascii="仿宋_GB2312" w:eastAsia="仿宋_GB2312" w:hAnsi="Times New Roman"/>
          <w:b/>
          <w:kern w:val="0"/>
          <w:sz w:val="24"/>
        </w:rPr>
      </w:pPr>
      <w:r>
        <w:rPr>
          <w:rFonts w:ascii="仿宋_GB2312" w:eastAsia="仿宋_GB2312" w:hAnsi="Times New Roman" w:hint="eastAsia"/>
          <w:b/>
          <w:kern w:val="0"/>
          <w:sz w:val="24"/>
        </w:rPr>
        <w:t>四、比选文件发售安排</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比选文件一套，定于20</w:t>
      </w:r>
      <w:r>
        <w:rPr>
          <w:rFonts w:ascii="仿宋_GB2312" w:eastAsia="仿宋_GB2312" w:hAnsi="Times New Roman"/>
          <w:sz w:val="24"/>
        </w:rPr>
        <w:t>20</w:t>
      </w:r>
      <w:r>
        <w:rPr>
          <w:rFonts w:ascii="仿宋_GB2312" w:eastAsia="仿宋_GB2312" w:hAnsi="Times New Roman" w:hint="eastAsia"/>
          <w:sz w:val="24"/>
        </w:rPr>
        <w:t>年</w:t>
      </w:r>
      <w:r>
        <w:rPr>
          <w:rFonts w:ascii="仿宋_GB2312" w:eastAsia="仿宋_GB2312" w:hAnsi="Times New Roman" w:hint="eastAsia"/>
          <w:sz w:val="24"/>
          <w:u w:val="single"/>
        </w:rPr>
        <w:t>8</w:t>
      </w:r>
      <w:r>
        <w:rPr>
          <w:rFonts w:ascii="仿宋_GB2312" w:eastAsia="仿宋_GB2312" w:hAnsi="Times New Roman" w:hint="eastAsia"/>
          <w:sz w:val="24"/>
        </w:rPr>
        <w:t>月</w:t>
      </w:r>
      <w:r>
        <w:rPr>
          <w:rFonts w:ascii="仿宋_GB2312" w:eastAsia="仿宋_GB2312" w:hAnsi="Times New Roman"/>
          <w:sz w:val="24"/>
          <w:u w:val="single"/>
        </w:rPr>
        <w:t>11</w:t>
      </w:r>
      <w:r>
        <w:rPr>
          <w:rFonts w:ascii="仿宋_GB2312" w:eastAsia="仿宋_GB2312" w:hAnsi="Times New Roman" w:hint="eastAsia"/>
          <w:sz w:val="24"/>
        </w:rPr>
        <w:t>日至</w:t>
      </w:r>
      <w:r>
        <w:rPr>
          <w:rFonts w:ascii="仿宋_GB2312" w:eastAsia="仿宋_GB2312" w:hAnsi="Times New Roman"/>
          <w:sz w:val="24"/>
          <w:u w:val="single"/>
        </w:rPr>
        <w:t>8</w:t>
      </w:r>
      <w:r>
        <w:rPr>
          <w:rFonts w:ascii="仿宋_GB2312" w:eastAsia="仿宋_GB2312" w:hAnsi="Times New Roman" w:hint="eastAsia"/>
          <w:sz w:val="24"/>
        </w:rPr>
        <w:t>月</w:t>
      </w:r>
      <w:r>
        <w:rPr>
          <w:rFonts w:ascii="仿宋_GB2312" w:eastAsia="仿宋_GB2312" w:hAnsi="Times New Roman"/>
          <w:sz w:val="24"/>
          <w:u w:val="single"/>
        </w:rPr>
        <w:t>17</w:t>
      </w:r>
      <w:r>
        <w:rPr>
          <w:rFonts w:ascii="仿宋_GB2312" w:eastAsia="仿宋_GB2312" w:hAnsi="Times New Roman" w:hint="eastAsia"/>
          <w:sz w:val="24"/>
        </w:rPr>
        <w:t>日工作时间上午9:30-11：</w:t>
      </w:r>
      <w:r>
        <w:rPr>
          <w:rFonts w:ascii="仿宋_GB2312" w:eastAsia="仿宋_GB2312" w:hAnsi="Times New Roman"/>
          <w:sz w:val="24"/>
        </w:rPr>
        <w:t>3</w:t>
      </w:r>
      <w:r>
        <w:rPr>
          <w:rFonts w:ascii="仿宋_GB2312" w:eastAsia="仿宋_GB2312" w:hAnsi="Times New Roman" w:hint="eastAsia"/>
          <w:sz w:val="24"/>
        </w:rPr>
        <w:t>0时，下午1</w:t>
      </w:r>
      <w:r>
        <w:rPr>
          <w:rFonts w:ascii="仿宋_GB2312" w:eastAsia="仿宋_GB2312" w:hAnsi="Times New Roman"/>
          <w:sz w:val="24"/>
        </w:rPr>
        <w:t>4</w:t>
      </w:r>
      <w:r>
        <w:rPr>
          <w:rFonts w:ascii="仿宋_GB2312" w:eastAsia="仿宋_GB2312" w:hAnsi="Times New Roman" w:hint="eastAsia"/>
          <w:sz w:val="24"/>
        </w:rPr>
        <w:t>：</w:t>
      </w:r>
      <w:r>
        <w:rPr>
          <w:rFonts w:ascii="仿宋_GB2312" w:eastAsia="仿宋_GB2312" w:hAnsi="Times New Roman"/>
          <w:sz w:val="24"/>
        </w:rPr>
        <w:t>0</w:t>
      </w:r>
      <w:r>
        <w:rPr>
          <w:rFonts w:ascii="仿宋_GB2312" w:eastAsia="仿宋_GB2312" w:hAnsi="Times New Roman" w:hint="eastAsia"/>
          <w:sz w:val="24"/>
        </w:rPr>
        <w:t>0－1</w:t>
      </w:r>
      <w:r>
        <w:rPr>
          <w:rFonts w:ascii="仿宋_GB2312" w:eastAsia="仿宋_GB2312" w:hAnsi="Times New Roman"/>
          <w:sz w:val="24"/>
        </w:rPr>
        <w:t>7</w:t>
      </w:r>
      <w:r>
        <w:rPr>
          <w:rFonts w:ascii="仿宋_GB2312" w:eastAsia="仿宋_GB2312" w:hAnsi="Times New Roman" w:hint="eastAsia"/>
          <w:sz w:val="24"/>
        </w:rPr>
        <w:t>:</w:t>
      </w:r>
      <w:r>
        <w:rPr>
          <w:rFonts w:ascii="仿宋_GB2312" w:eastAsia="仿宋_GB2312" w:hAnsi="Times New Roman"/>
          <w:sz w:val="24"/>
        </w:rPr>
        <w:t>0</w:t>
      </w:r>
      <w:r>
        <w:rPr>
          <w:rFonts w:ascii="仿宋_GB2312" w:eastAsia="仿宋_GB2312" w:hAnsi="Times New Roman" w:hint="eastAsia"/>
          <w:sz w:val="24"/>
        </w:rPr>
        <w:t>0时，在四川省雅安市石棉县新棉镇彩虹路64号办公楼4楼四川田湾河旅游开发有限责任公司招标成本部发售，每套收工本费150元，比选文件售后不退。</w:t>
      </w:r>
    </w:p>
    <w:p w:rsidR="003051AB" w:rsidRDefault="003051AB" w:rsidP="003051AB">
      <w:pPr>
        <w:spacing w:line="440" w:lineRule="exact"/>
        <w:ind w:firstLineChars="200" w:firstLine="482"/>
        <w:rPr>
          <w:rFonts w:ascii="仿宋_GB2312" w:eastAsia="仿宋_GB2312" w:hAnsi="Times New Roman"/>
          <w:b/>
          <w:kern w:val="0"/>
          <w:sz w:val="24"/>
        </w:rPr>
      </w:pPr>
      <w:r>
        <w:rPr>
          <w:rFonts w:ascii="仿宋_GB2312" w:eastAsia="仿宋_GB2312" w:hAnsi="Times New Roman" w:hint="eastAsia"/>
          <w:b/>
          <w:kern w:val="0"/>
          <w:sz w:val="24"/>
        </w:rPr>
        <w:t>五</w:t>
      </w:r>
      <w:r>
        <w:rPr>
          <w:rFonts w:ascii="仿宋_GB2312" w:eastAsia="仿宋_GB2312" w:hAnsi="Times New Roman" w:hint="eastAsia"/>
          <w:b/>
          <w:sz w:val="24"/>
        </w:rPr>
        <w:t>、</w:t>
      </w:r>
      <w:r>
        <w:rPr>
          <w:rFonts w:ascii="仿宋_GB2312" w:eastAsia="仿宋_GB2312" w:hAnsi="Times New Roman" w:hint="eastAsia"/>
          <w:b/>
          <w:kern w:val="0"/>
          <w:sz w:val="24"/>
        </w:rPr>
        <w:t>购买比选文件需提交的材料（验原件留复印件）</w:t>
      </w:r>
    </w:p>
    <w:p w:rsidR="003051AB" w:rsidRDefault="003051AB" w:rsidP="003051AB">
      <w:pPr>
        <w:spacing w:line="440" w:lineRule="exact"/>
        <w:ind w:left="480"/>
        <w:rPr>
          <w:rFonts w:ascii="仿宋_GB2312" w:eastAsia="仿宋_GB2312" w:hAnsi="Times New Roman"/>
          <w:sz w:val="24"/>
        </w:rPr>
      </w:pPr>
      <w:r>
        <w:rPr>
          <w:rFonts w:ascii="仿宋_GB2312" w:eastAsia="仿宋_GB2312" w:hAnsi="Times New Roman" w:hint="eastAsia"/>
          <w:sz w:val="24"/>
        </w:rPr>
        <w:t>1、企业法人营业执照副本</w:t>
      </w:r>
      <w:r>
        <w:rPr>
          <w:rFonts w:ascii="仿宋_GB2312" w:eastAsia="仿宋_GB2312" w:hint="eastAsia"/>
          <w:sz w:val="24"/>
        </w:rPr>
        <w:t>（或三证合一）</w:t>
      </w:r>
      <w:r>
        <w:rPr>
          <w:rFonts w:ascii="仿宋_GB2312" w:eastAsia="仿宋_GB2312" w:hAnsi="Times New Roman" w:hint="eastAsia"/>
          <w:sz w:val="24"/>
        </w:rPr>
        <w:t>，</w:t>
      </w:r>
      <w:r>
        <w:rPr>
          <w:rFonts w:ascii="仿宋_GB2312" w:eastAsia="仿宋_GB2312" w:hAnsi="Times New Roman" w:hint="eastAsia"/>
          <w:sz w:val="24"/>
          <w:u w:val="single"/>
        </w:rPr>
        <w:t>留加盖鲜章的复印件</w:t>
      </w:r>
      <w:r>
        <w:rPr>
          <w:rFonts w:ascii="仿宋_GB2312" w:eastAsia="仿宋_GB2312" w:hAnsi="Times New Roman" w:hint="eastAsia"/>
          <w:sz w:val="24"/>
        </w:rPr>
        <w:t>；</w:t>
      </w:r>
    </w:p>
    <w:p w:rsidR="003051AB" w:rsidRDefault="003051AB" w:rsidP="003051AB">
      <w:pPr>
        <w:spacing w:line="440" w:lineRule="exact"/>
        <w:ind w:left="480"/>
        <w:rPr>
          <w:rFonts w:ascii="仿宋_GB2312" w:eastAsia="仿宋_GB2312" w:hAnsi="Times New Roman"/>
          <w:sz w:val="24"/>
        </w:rPr>
      </w:pPr>
      <w:r>
        <w:rPr>
          <w:rFonts w:ascii="仿宋_GB2312" w:eastAsia="仿宋_GB2312" w:hAnsi="Times New Roman" w:hint="eastAsia"/>
          <w:sz w:val="24"/>
        </w:rPr>
        <w:t>2、单位介绍信原件；</w:t>
      </w:r>
    </w:p>
    <w:p w:rsidR="003051AB" w:rsidRDefault="003051AB" w:rsidP="003051AB">
      <w:pPr>
        <w:spacing w:line="440" w:lineRule="exact"/>
        <w:ind w:left="480"/>
        <w:rPr>
          <w:rFonts w:ascii="仿宋_GB2312" w:eastAsia="仿宋_GB2312" w:hAnsi="Times New Roman"/>
          <w:sz w:val="24"/>
        </w:rPr>
      </w:pPr>
      <w:r>
        <w:rPr>
          <w:rFonts w:ascii="仿宋_GB2312" w:eastAsia="仿宋_GB2312" w:hAnsi="Times New Roman" w:hint="eastAsia"/>
          <w:sz w:val="24"/>
        </w:rPr>
        <w:t>3、经办人身份证原件，</w:t>
      </w:r>
      <w:r>
        <w:rPr>
          <w:rFonts w:ascii="仿宋_GB2312" w:eastAsia="仿宋_GB2312" w:hAnsi="Times New Roman" w:hint="eastAsia"/>
          <w:sz w:val="24"/>
          <w:u w:val="single"/>
        </w:rPr>
        <w:t>留加盖鲜章的复印件</w:t>
      </w:r>
      <w:r>
        <w:rPr>
          <w:rFonts w:ascii="仿宋_GB2312" w:eastAsia="仿宋_GB2312" w:hAnsi="Times New Roman" w:hint="eastAsia"/>
          <w:sz w:val="24"/>
        </w:rPr>
        <w:t>。</w:t>
      </w:r>
    </w:p>
    <w:p w:rsidR="003051AB" w:rsidRDefault="003051AB" w:rsidP="003051AB">
      <w:pPr>
        <w:spacing w:line="440" w:lineRule="exact"/>
        <w:ind w:firstLineChars="200" w:firstLine="482"/>
        <w:rPr>
          <w:rFonts w:ascii="仿宋_GB2312" w:eastAsia="仿宋_GB2312" w:hAnsi="Times New Roman"/>
          <w:sz w:val="24"/>
        </w:rPr>
      </w:pPr>
      <w:r>
        <w:rPr>
          <w:rFonts w:ascii="仿宋_GB2312" w:eastAsia="仿宋_GB2312" w:hAnsi="Times New Roman" w:hint="eastAsia"/>
          <w:b/>
          <w:kern w:val="0"/>
          <w:sz w:val="24"/>
        </w:rPr>
        <w:t>六、递交比选响应文件截止时间及地点</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接受比选响应文件的截止时间为20</w:t>
      </w:r>
      <w:r>
        <w:rPr>
          <w:rFonts w:ascii="仿宋_GB2312" w:eastAsia="仿宋_GB2312" w:hAnsi="Times New Roman"/>
          <w:sz w:val="24"/>
        </w:rPr>
        <w:t>20</w:t>
      </w:r>
      <w:r>
        <w:rPr>
          <w:rFonts w:ascii="仿宋_GB2312" w:eastAsia="仿宋_GB2312" w:hAnsi="Times New Roman" w:hint="eastAsia"/>
          <w:sz w:val="24"/>
        </w:rPr>
        <w:t>年</w:t>
      </w:r>
      <w:r>
        <w:rPr>
          <w:rFonts w:ascii="仿宋_GB2312" w:eastAsia="仿宋_GB2312" w:hAnsi="Times New Roman"/>
          <w:sz w:val="24"/>
          <w:u w:val="single"/>
        </w:rPr>
        <w:t>8</w:t>
      </w:r>
      <w:r>
        <w:rPr>
          <w:rFonts w:ascii="仿宋_GB2312" w:eastAsia="仿宋_GB2312" w:hAnsi="Times New Roman" w:hint="eastAsia"/>
          <w:sz w:val="24"/>
        </w:rPr>
        <w:t>月</w:t>
      </w:r>
      <w:r>
        <w:rPr>
          <w:rFonts w:ascii="仿宋_GB2312" w:eastAsia="仿宋_GB2312" w:hAnsi="Times New Roman"/>
          <w:sz w:val="24"/>
          <w:u w:val="single"/>
        </w:rPr>
        <w:t>25</w:t>
      </w:r>
      <w:r>
        <w:rPr>
          <w:rFonts w:ascii="仿宋_GB2312" w:eastAsia="仿宋_GB2312" w:hAnsi="Times New Roman" w:hint="eastAsia"/>
          <w:sz w:val="24"/>
        </w:rPr>
        <w:t>日14:</w:t>
      </w:r>
      <w:r>
        <w:rPr>
          <w:rFonts w:ascii="仿宋_GB2312" w:eastAsia="仿宋_GB2312" w:hAnsi="Times New Roman"/>
          <w:sz w:val="24"/>
        </w:rPr>
        <w:t>3</w:t>
      </w:r>
      <w:r>
        <w:rPr>
          <w:rFonts w:ascii="仿宋_GB2312" w:eastAsia="仿宋_GB2312" w:hAnsi="Times New Roman" w:hint="eastAsia"/>
          <w:sz w:val="24"/>
        </w:rPr>
        <w:t>0时，比选响应文件必须在此规定时间之前专人送达四川省雅安市石棉县新棉镇彩虹路64号办公楼4楼四川田湾河旅游开发有限责任公司会议室。比选响应文件</w:t>
      </w:r>
      <w:r>
        <w:rPr>
          <w:rFonts w:ascii="仿宋_GB2312" w:eastAsia="仿宋_GB2312" w:hAnsi="Times New Roman" w:hint="eastAsia"/>
          <w:sz w:val="24"/>
          <w:u w:val="single"/>
        </w:rPr>
        <w:t>正本一套，副本一套，U盘1个</w:t>
      </w:r>
      <w:r>
        <w:rPr>
          <w:rFonts w:ascii="仿宋_GB2312" w:eastAsia="仿宋_GB2312" w:hAnsi="Times New Roman" w:hint="eastAsia"/>
          <w:sz w:val="24"/>
        </w:rPr>
        <w:t>（文档采用WORD的*.</w:t>
      </w:r>
      <w:r>
        <w:rPr>
          <w:rFonts w:ascii="仿宋_GB2312" w:eastAsia="仿宋_GB2312" w:hAnsi="Times New Roman"/>
          <w:sz w:val="24"/>
        </w:rPr>
        <w:t>doc</w:t>
      </w:r>
      <w:r>
        <w:rPr>
          <w:rFonts w:ascii="仿宋_GB2312" w:eastAsia="仿宋_GB2312" w:hAnsi="Times New Roman" w:hint="eastAsia"/>
          <w:sz w:val="24"/>
        </w:rPr>
        <w:t>或*.</w:t>
      </w:r>
      <w:r>
        <w:rPr>
          <w:rFonts w:ascii="仿宋_GB2312" w:eastAsia="仿宋_GB2312" w:hAnsi="Times New Roman"/>
          <w:sz w:val="24"/>
        </w:rPr>
        <w:t>docx</w:t>
      </w:r>
      <w:r>
        <w:rPr>
          <w:rFonts w:ascii="仿宋_GB2312" w:eastAsia="仿宋_GB2312" w:hAnsi="Times New Roman" w:hint="eastAsia"/>
          <w:sz w:val="24"/>
        </w:rPr>
        <w:t>格式，报价表采用Excel的*.</w:t>
      </w:r>
      <w:r>
        <w:rPr>
          <w:rFonts w:ascii="仿宋_GB2312" w:eastAsia="仿宋_GB2312" w:hAnsi="Times New Roman"/>
          <w:sz w:val="24"/>
        </w:rPr>
        <w:t>xls</w:t>
      </w:r>
      <w:r>
        <w:rPr>
          <w:rFonts w:ascii="仿宋_GB2312" w:eastAsia="仿宋_GB2312" w:hAnsi="Times New Roman" w:hint="eastAsia"/>
          <w:sz w:val="24"/>
        </w:rPr>
        <w:t>或*.</w:t>
      </w:r>
      <w:r>
        <w:rPr>
          <w:rFonts w:ascii="仿宋_GB2312" w:eastAsia="仿宋_GB2312" w:hAnsi="Times New Roman"/>
          <w:sz w:val="24"/>
        </w:rPr>
        <w:t>xlsx</w:t>
      </w:r>
      <w:r>
        <w:rPr>
          <w:rFonts w:ascii="仿宋_GB2312" w:eastAsia="仿宋_GB2312" w:hAnsi="Times New Roman" w:hint="eastAsia"/>
          <w:sz w:val="24"/>
        </w:rPr>
        <w:t>格式）。迟到的比选响应文件，未按照要求密封的比选响应文件，比选人予以拒收。</w:t>
      </w:r>
    </w:p>
    <w:p w:rsidR="003051AB" w:rsidRDefault="003051AB" w:rsidP="003051AB">
      <w:pPr>
        <w:spacing w:line="440" w:lineRule="exact"/>
        <w:ind w:firstLineChars="200" w:firstLine="482"/>
        <w:rPr>
          <w:rFonts w:ascii="仿宋_GB2312" w:eastAsia="仿宋_GB2312" w:hAnsi="Times New Roman"/>
          <w:b/>
          <w:sz w:val="24"/>
        </w:rPr>
      </w:pPr>
      <w:r>
        <w:rPr>
          <w:rFonts w:ascii="仿宋_GB2312" w:eastAsia="仿宋_GB2312" w:hAnsi="Times New Roman" w:hint="eastAsia"/>
          <w:b/>
          <w:sz w:val="24"/>
        </w:rPr>
        <w:t>七、发布的媒介</w:t>
      </w:r>
    </w:p>
    <w:p w:rsidR="003051AB" w:rsidRPr="00C5682D" w:rsidRDefault="003051AB" w:rsidP="003051AB">
      <w:pPr>
        <w:spacing w:line="440" w:lineRule="exact"/>
        <w:ind w:firstLineChars="200" w:firstLine="480"/>
        <w:rPr>
          <w:rFonts w:ascii="仿宋_GB2312" w:eastAsia="仿宋_GB2312" w:hAnsi="Times New Roman"/>
          <w:sz w:val="24"/>
        </w:rPr>
      </w:pPr>
      <w:r w:rsidRPr="00961918">
        <w:rPr>
          <w:rFonts w:ascii="仿宋_GB2312" w:eastAsia="仿宋_GB2312" w:hAnsi="Times New Roman" w:hint="eastAsia"/>
          <w:sz w:val="24"/>
        </w:rPr>
        <w:t>本次比选公告在四川省投资集团有限责任公司及</w:t>
      </w:r>
      <w:r w:rsidRPr="00C5682D">
        <w:rPr>
          <w:rFonts w:ascii="仿宋_GB2312" w:eastAsia="仿宋_GB2312" w:hAnsi="Times New Roman" w:hint="eastAsia"/>
          <w:sz w:val="24"/>
        </w:rPr>
        <w:t>四川川投田湾河开发有限责任公司网上发布。</w:t>
      </w:r>
    </w:p>
    <w:p w:rsidR="003051AB" w:rsidRDefault="003051AB" w:rsidP="003051AB">
      <w:pPr>
        <w:widowControl/>
        <w:spacing w:line="440" w:lineRule="exact"/>
        <w:ind w:firstLine="562"/>
        <w:jc w:val="left"/>
        <w:rPr>
          <w:rFonts w:ascii="仿宋_GB2312" w:eastAsia="仿宋_GB2312" w:hAnsi="Times New Roman"/>
          <w:b/>
          <w:kern w:val="0"/>
          <w:sz w:val="24"/>
        </w:rPr>
      </w:pPr>
      <w:r>
        <w:rPr>
          <w:rFonts w:ascii="仿宋_GB2312" w:eastAsia="仿宋_GB2312" w:hAnsi="Times New Roman" w:hint="eastAsia"/>
          <w:b/>
          <w:sz w:val="24"/>
        </w:rPr>
        <w:t>八、</w:t>
      </w:r>
      <w:r>
        <w:rPr>
          <w:rFonts w:ascii="仿宋_GB2312" w:eastAsia="仿宋_GB2312" w:hAnsi="Times New Roman" w:hint="eastAsia"/>
          <w:b/>
          <w:kern w:val="0"/>
          <w:sz w:val="24"/>
        </w:rPr>
        <w:t>联系方式</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比 选 人：四川田湾河旅游开发有限责任公司</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地    址：四川省雅安市石棉县新棉镇彩虹路64号</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邮政编码：</w:t>
      </w:r>
      <w:r>
        <w:rPr>
          <w:rFonts w:ascii="仿宋_GB2312" w:eastAsia="仿宋_GB2312" w:hAnsi="Times New Roman"/>
          <w:sz w:val="24"/>
        </w:rPr>
        <w:t>625000</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联 系 人：周先生</w:t>
      </w:r>
    </w:p>
    <w:p w:rsidR="003051AB" w:rsidRDefault="003051AB" w:rsidP="003051AB">
      <w:pPr>
        <w:spacing w:line="440" w:lineRule="exact"/>
        <w:ind w:firstLineChars="200" w:firstLine="480"/>
        <w:rPr>
          <w:rFonts w:ascii="仿宋_GB2312" w:eastAsia="仿宋_GB2312" w:hAnsi="Times New Roman"/>
          <w:sz w:val="24"/>
        </w:rPr>
      </w:pPr>
      <w:r>
        <w:rPr>
          <w:rFonts w:ascii="仿宋_GB2312" w:eastAsia="仿宋_GB2312" w:hAnsi="Times New Roman" w:hint="eastAsia"/>
          <w:sz w:val="24"/>
        </w:rPr>
        <w:t>联系电话：（0835）</w:t>
      </w:r>
      <w:r>
        <w:rPr>
          <w:rFonts w:ascii="仿宋_GB2312" w:eastAsia="仿宋_GB2312" w:hAnsi="Times New Roman"/>
          <w:sz w:val="24"/>
        </w:rPr>
        <w:t>8850003</w:t>
      </w:r>
      <w:r>
        <w:rPr>
          <w:rFonts w:ascii="仿宋_GB2312" w:eastAsia="仿宋_GB2312" w:hAnsi="Times New Roman" w:hint="eastAsia"/>
          <w:sz w:val="24"/>
        </w:rPr>
        <w:t xml:space="preserve">  </w:t>
      </w:r>
    </w:p>
    <w:p w:rsidR="003051AB" w:rsidRDefault="003051AB" w:rsidP="003051AB">
      <w:pPr>
        <w:spacing w:line="440" w:lineRule="exact"/>
        <w:ind w:right="480" w:firstLineChars="2750" w:firstLine="6600"/>
        <w:rPr>
          <w:rFonts w:ascii="仿宋_GB2312" w:eastAsia="仿宋_GB2312" w:hAnsi="Times New Roman"/>
          <w:sz w:val="24"/>
        </w:rPr>
      </w:pPr>
    </w:p>
    <w:p w:rsidR="003051AB" w:rsidRDefault="003051AB" w:rsidP="003051AB">
      <w:pPr>
        <w:spacing w:line="440" w:lineRule="exact"/>
        <w:ind w:right="480" w:firstLineChars="2750" w:firstLine="6600"/>
        <w:rPr>
          <w:rFonts w:ascii="仿宋_GB2312" w:eastAsia="仿宋_GB2312" w:hAnsi="Times New Roman"/>
          <w:sz w:val="24"/>
        </w:rPr>
      </w:pPr>
    </w:p>
    <w:p w:rsidR="003051AB" w:rsidRDefault="003051AB" w:rsidP="003051AB">
      <w:pPr>
        <w:spacing w:line="440" w:lineRule="exact"/>
        <w:ind w:right="480" w:firstLineChars="2000" w:firstLine="4800"/>
        <w:rPr>
          <w:rFonts w:ascii="仿宋_GB2312" w:eastAsia="仿宋_GB2312" w:hAnsi="Times New Roman"/>
          <w:sz w:val="24"/>
        </w:rPr>
      </w:pPr>
      <w:r>
        <w:rPr>
          <w:rFonts w:ascii="仿宋_GB2312" w:eastAsia="仿宋_GB2312" w:hAnsi="Times New Roman" w:hint="eastAsia"/>
          <w:sz w:val="24"/>
        </w:rPr>
        <w:t>20</w:t>
      </w:r>
      <w:r>
        <w:rPr>
          <w:rFonts w:ascii="仿宋_GB2312" w:eastAsia="仿宋_GB2312" w:hAnsi="Times New Roman"/>
          <w:sz w:val="24"/>
        </w:rPr>
        <w:t>20</w:t>
      </w:r>
      <w:r>
        <w:rPr>
          <w:rFonts w:ascii="仿宋_GB2312" w:eastAsia="仿宋_GB2312" w:hAnsi="Times New Roman" w:hint="eastAsia"/>
          <w:sz w:val="24"/>
        </w:rPr>
        <w:t>年</w:t>
      </w:r>
      <w:r>
        <w:rPr>
          <w:rFonts w:ascii="仿宋_GB2312" w:eastAsia="仿宋_GB2312" w:hAnsi="Times New Roman"/>
          <w:sz w:val="24"/>
        </w:rPr>
        <w:t>8</w:t>
      </w:r>
      <w:r>
        <w:rPr>
          <w:rFonts w:ascii="仿宋_GB2312" w:eastAsia="仿宋_GB2312" w:hAnsi="Times New Roman" w:hint="eastAsia"/>
          <w:sz w:val="24"/>
        </w:rPr>
        <w:t>月</w:t>
      </w:r>
      <w:r>
        <w:rPr>
          <w:rFonts w:ascii="仿宋_GB2312" w:eastAsia="仿宋_GB2312" w:hAnsi="Times New Roman"/>
          <w:sz w:val="24"/>
        </w:rPr>
        <w:t>10</w:t>
      </w:r>
      <w:r>
        <w:rPr>
          <w:rFonts w:ascii="仿宋_GB2312" w:eastAsia="仿宋_GB2312" w:hAnsi="Times New Roman" w:hint="eastAsia"/>
          <w:sz w:val="24"/>
        </w:rPr>
        <w:t>日</w:t>
      </w:r>
    </w:p>
    <w:p w:rsidR="00281BC7" w:rsidRDefault="00281BC7"/>
    <w:sectPr w:rsidR="00281B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FF7" w:rsidRDefault="00367FF7" w:rsidP="00367FF7">
      <w:r>
        <w:separator/>
      </w:r>
    </w:p>
  </w:endnote>
  <w:endnote w:type="continuationSeparator" w:id="0">
    <w:p w:rsidR="00367FF7" w:rsidRDefault="00367FF7" w:rsidP="0036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FF7" w:rsidRDefault="00367FF7" w:rsidP="00367FF7">
      <w:r>
        <w:separator/>
      </w:r>
    </w:p>
  </w:footnote>
  <w:footnote w:type="continuationSeparator" w:id="0">
    <w:p w:rsidR="00367FF7" w:rsidRDefault="00367FF7" w:rsidP="0036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6535"/>
    <w:multiLevelType w:val="multilevel"/>
    <w:tmpl w:val="3B236535"/>
    <w:lvl w:ilvl="0">
      <w:start w:val="1"/>
      <w:numFmt w:val="japaneseCounting"/>
      <w:lvlText w:val="第%1章"/>
      <w:lvlJc w:val="left"/>
      <w:pPr>
        <w:tabs>
          <w:tab w:val="num" w:pos="4440"/>
        </w:tabs>
        <w:ind w:left="444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AB"/>
    <w:rsid w:val="00281BC7"/>
    <w:rsid w:val="003051AB"/>
    <w:rsid w:val="00367FF7"/>
    <w:rsid w:val="0039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C511"/>
  <w15:chartTrackingRefBased/>
  <w15:docId w15:val="{445BBC78-3523-4260-9CDA-30167CC9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AB"/>
    <w:pPr>
      <w:widowControl w:val="0"/>
      <w:jc w:val="both"/>
    </w:pPr>
    <w:rPr>
      <w:rFonts w:ascii="Calibri" w:hAnsi="Calibri"/>
      <w:kern w:val="2"/>
      <w:sz w:val="21"/>
      <w:szCs w:val="22"/>
    </w:rPr>
  </w:style>
  <w:style w:type="paragraph" w:styleId="1">
    <w:name w:val="heading 1"/>
    <w:basedOn w:val="a"/>
    <w:next w:val="a"/>
    <w:link w:val="10"/>
    <w:uiPriority w:val="9"/>
    <w:qFormat/>
    <w:rsid w:val="00394805"/>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0"/>
    <w:unhideWhenUsed/>
    <w:qFormat/>
    <w:rsid w:val="00394805"/>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94805"/>
    <w:rPr>
      <w:rFonts w:ascii="宋体" w:hAnsi="宋体"/>
      <w:b/>
      <w:kern w:val="44"/>
      <w:sz w:val="48"/>
      <w:szCs w:val="48"/>
    </w:rPr>
  </w:style>
  <w:style w:type="character" w:customStyle="1" w:styleId="20">
    <w:name w:val="标题 2 字符"/>
    <w:link w:val="2"/>
    <w:rsid w:val="00394805"/>
    <w:rPr>
      <w:rFonts w:ascii="等线 Light" w:eastAsia="等线 Light" w:hAnsi="等线 Light"/>
      <w:b/>
      <w:bCs/>
      <w:kern w:val="2"/>
      <w:sz w:val="32"/>
      <w:szCs w:val="32"/>
    </w:rPr>
  </w:style>
  <w:style w:type="character" w:customStyle="1" w:styleId="a3">
    <w:name w:val="纯文本 字符"/>
    <w:link w:val="a4"/>
    <w:uiPriority w:val="99"/>
    <w:rsid w:val="003051AB"/>
    <w:rPr>
      <w:szCs w:val="21"/>
    </w:rPr>
  </w:style>
  <w:style w:type="character" w:styleId="a5">
    <w:name w:val="Hyperlink"/>
    <w:uiPriority w:val="99"/>
    <w:rsid w:val="003051AB"/>
    <w:rPr>
      <w:color w:val="0000FF"/>
      <w:u w:val="single"/>
    </w:rPr>
  </w:style>
  <w:style w:type="paragraph" w:styleId="a4">
    <w:name w:val="Plain Text"/>
    <w:basedOn w:val="a"/>
    <w:link w:val="a3"/>
    <w:uiPriority w:val="99"/>
    <w:rsid w:val="003051AB"/>
    <w:pPr>
      <w:snapToGrid w:val="0"/>
      <w:spacing w:line="380" w:lineRule="atLeast"/>
    </w:pPr>
    <w:rPr>
      <w:rFonts w:ascii="Times New Roman" w:hAnsi="Times New Roman"/>
      <w:kern w:val="0"/>
      <w:sz w:val="20"/>
      <w:szCs w:val="21"/>
    </w:rPr>
  </w:style>
  <w:style w:type="character" w:customStyle="1" w:styleId="11">
    <w:name w:val="纯文本 字符1"/>
    <w:basedOn w:val="a0"/>
    <w:uiPriority w:val="99"/>
    <w:semiHidden/>
    <w:rsid w:val="003051AB"/>
    <w:rPr>
      <w:rFonts w:asciiTheme="minorEastAsia" w:eastAsiaTheme="minorEastAsia" w:hAnsi="Courier New" w:cs="Courier New"/>
      <w:kern w:val="2"/>
      <w:sz w:val="21"/>
      <w:szCs w:val="22"/>
    </w:rPr>
  </w:style>
  <w:style w:type="paragraph" w:styleId="TOC1">
    <w:name w:val="toc 1"/>
    <w:basedOn w:val="a"/>
    <w:next w:val="a"/>
    <w:uiPriority w:val="39"/>
    <w:rsid w:val="003051AB"/>
    <w:pPr>
      <w:tabs>
        <w:tab w:val="right" w:leader="dot" w:pos="8820"/>
      </w:tabs>
      <w:snapToGrid w:val="0"/>
      <w:spacing w:line="440" w:lineRule="atLeast"/>
      <w:ind w:firstLineChars="200" w:firstLine="480"/>
    </w:pPr>
    <w:rPr>
      <w:rFonts w:ascii="Times New Roman" w:hAnsi="Times New Roman"/>
      <w:sz w:val="24"/>
      <w:szCs w:val="24"/>
    </w:rPr>
  </w:style>
  <w:style w:type="paragraph" w:styleId="a6">
    <w:name w:val="header"/>
    <w:basedOn w:val="a"/>
    <w:link w:val="a7"/>
    <w:uiPriority w:val="99"/>
    <w:unhideWhenUsed/>
    <w:rsid w:val="00367F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67FF7"/>
    <w:rPr>
      <w:rFonts w:ascii="Calibri" w:hAnsi="Calibri"/>
      <w:kern w:val="2"/>
      <w:sz w:val="18"/>
      <w:szCs w:val="18"/>
    </w:rPr>
  </w:style>
  <w:style w:type="paragraph" w:styleId="a8">
    <w:name w:val="footer"/>
    <w:basedOn w:val="a"/>
    <w:link w:val="a9"/>
    <w:uiPriority w:val="99"/>
    <w:unhideWhenUsed/>
    <w:rsid w:val="00367FF7"/>
    <w:pPr>
      <w:tabs>
        <w:tab w:val="center" w:pos="4153"/>
        <w:tab w:val="right" w:pos="8306"/>
      </w:tabs>
      <w:snapToGrid w:val="0"/>
      <w:jc w:val="left"/>
    </w:pPr>
    <w:rPr>
      <w:sz w:val="18"/>
      <w:szCs w:val="18"/>
    </w:rPr>
  </w:style>
  <w:style w:type="character" w:customStyle="1" w:styleId="a9">
    <w:name w:val="页脚 字符"/>
    <w:basedOn w:val="a0"/>
    <w:link w:val="a8"/>
    <w:uiPriority w:val="99"/>
    <w:rsid w:val="00367FF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周颖楠</dc:creator>
  <cp:keywords/>
  <dc:description/>
  <cp:lastModifiedBy>周颖楠</cp:lastModifiedBy>
  <cp:revision>2</cp:revision>
  <dcterms:created xsi:type="dcterms:W3CDTF">2020-08-10T01:02:00Z</dcterms:created>
  <dcterms:modified xsi:type="dcterms:W3CDTF">2020-08-10T07:03:00Z</dcterms:modified>
</cp:coreProperties>
</file>